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FE1C3" w14:textId="77777777" w:rsidR="004F5461" w:rsidRDefault="00EF1EF6">
      <w:pPr>
        <w:widowControl w:val="0"/>
        <w:pBdr>
          <w:top w:val="nil"/>
          <w:left w:val="nil"/>
          <w:bottom w:val="nil"/>
          <w:right w:val="nil"/>
          <w:between w:val="nil"/>
        </w:pBdr>
        <w:spacing w:after="0" w:line="276" w:lineRule="auto"/>
      </w:pPr>
      <w:r>
        <w:pict w14:anchorId="1D4A6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240;visibility:hidden;mso-wrap-edited:f;mso-width-percent:0;mso-height-percent:0;mso-width-percent:0;mso-height-percent:0">
            <o:lock v:ext="edit" selection="t"/>
          </v:shape>
        </w:pict>
      </w:r>
    </w:p>
    <w:p w14:paraId="24F49875" w14:textId="77777777" w:rsidR="004F5461" w:rsidRDefault="00EF1EF6">
      <w:pPr>
        <w:spacing w:after="0"/>
        <w:rPr>
          <w:b/>
        </w:rPr>
      </w:pPr>
      <w:r>
        <w:br/>
      </w:r>
      <w:r>
        <w:rPr>
          <w:noProof/>
        </w:rPr>
        <w:drawing>
          <wp:anchor distT="0" distB="0" distL="114300" distR="114300" simplePos="0" relativeHeight="251657216" behindDoc="0" locked="0" layoutInCell="1" hidden="0" allowOverlap="1" wp14:anchorId="7A70364A" wp14:editId="3DDFA906">
            <wp:simplePos x="0" y="0"/>
            <wp:positionH relativeFrom="column">
              <wp:posOffset>-627783</wp:posOffset>
            </wp:positionH>
            <wp:positionV relativeFrom="paragraph">
              <wp:posOffset>-728344</wp:posOffset>
            </wp:positionV>
            <wp:extent cx="7202393" cy="1240972"/>
            <wp:effectExtent l="0" t="0" r="0" b="0"/>
            <wp:wrapNone/>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447" r="2266" b="56686"/>
                    <a:stretch>
                      <a:fillRect/>
                    </a:stretch>
                  </pic:blipFill>
                  <pic:spPr>
                    <a:xfrm>
                      <a:off x="0" y="0"/>
                      <a:ext cx="7202393" cy="1240972"/>
                    </a:xfrm>
                    <a:prstGeom prst="rect">
                      <a:avLst/>
                    </a:prstGeom>
                    <a:ln/>
                  </pic:spPr>
                </pic:pic>
              </a:graphicData>
            </a:graphic>
          </wp:anchor>
        </w:drawing>
      </w:r>
    </w:p>
    <w:p w14:paraId="56899732" w14:textId="77777777" w:rsidR="004F5461" w:rsidRDefault="004F5461">
      <w:pPr>
        <w:spacing w:after="80"/>
        <w:rPr>
          <w:b/>
        </w:rPr>
      </w:pPr>
    </w:p>
    <w:p w14:paraId="777A4492" w14:textId="77777777" w:rsidR="004F5461" w:rsidRPr="00A65512" w:rsidRDefault="00EF1EF6">
      <w:pPr>
        <w:spacing w:after="0" w:line="240" w:lineRule="auto"/>
        <w:ind w:right="-16"/>
        <w:rPr>
          <w:b/>
          <w:bCs/>
          <w:color w:val="F49B34"/>
          <w:sz w:val="62"/>
          <w:szCs w:val="62"/>
        </w:rPr>
      </w:pPr>
      <w:r w:rsidRPr="00A65512">
        <w:rPr>
          <w:b/>
          <w:bCs/>
          <w:color w:val="F49B34"/>
          <w:sz w:val="62"/>
          <w:szCs w:val="62"/>
        </w:rPr>
        <w:t>GUIDE TO DEVELOPING A PA</w:t>
      </w:r>
      <w:bookmarkStart w:id="0" w:name="_GoBack"/>
      <w:bookmarkEnd w:id="0"/>
      <w:r w:rsidRPr="00A65512">
        <w:rPr>
          <w:b/>
          <w:bCs/>
          <w:color w:val="F49B34"/>
          <w:sz w:val="62"/>
          <w:szCs w:val="62"/>
        </w:rPr>
        <w:t>RTICIPANT’S HOUSING STATEMENT</w:t>
      </w:r>
    </w:p>
    <w:p w14:paraId="28A590AC" w14:textId="77777777" w:rsidR="004F5461" w:rsidRPr="00A65512" w:rsidRDefault="00EF1EF6">
      <w:pPr>
        <w:spacing w:before="160" w:after="0"/>
        <w:rPr>
          <w:b/>
        </w:rPr>
      </w:pPr>
      <w:r w:rsidRPr="00A65512">
        <w:rPr>
          <w:b/>
        </w:rPr>
        <w:t xml:space="preserve">For NDIS support coordinators and allied health professionals – </w:t>
      </w:r>
      <w:proofErr w:type="gramStart"/>
      <w:r w:rsidRPr="00A65512">
        <w:rPr>
          <w:b/>
        </w:rPr>
        <w:t>October  2020</w:t>
      </w:r>
      <w:proofErr w:type="gramEnd"/>
    </w:p>
    <w:p w14:paraId="72ABE53B" w14:textId="77777777" w:rsidR="004F5461" w:rsidRDefault="004F5461">
      <w:pPr>
        <w:spacing w:after="0"/>
        <w:rPr>
          <w:b/>
        </w:rPr>
      </w:pPr>
    </w:p>
    <w:p w14:paraId="478604F7" w14:textId="77777777" w:rsidR="004F5461" w:rsidRDefault="00EF1EF6">
      <w:pPr>
        <w:pStyle w:val="Heading2"/>
      </w:pPr>
      <w:r>
        <w:t xml:space="preserve">About this guide   </w:t>
      </w:r>
    </w:p>
    <w:p w14:paraId="7B794D5F" w14:textId="77777777" w:rsidR="004F5461" w:rsidRDefault="00EF1EF6">
      <w:r>
        <w:t xml:space="preserve">This guide and the Participant Housing Statement template will assist NDIS support coordinators and allied health professionals working with people wanting to test their eligibility for Specialist Disability Accommodation (SDA). Concise evidence helps the </w:t>
      </w:r>
      <w:r>
        <w:t>SDA Panel to make a timely decision. The SDA Panel considers the evidence provided to determine whether a person meets the SDA eligibility criteria as set out in the </w:t>
      </w:r>
      <w:r>
        <w:rPr>
          <w:i/>
        </w:rPr>
        <w:t xml:space="preserve">SDA Rules 2020. </w:t>
      </w:r>
      <w:r>
        <w:t>And whether SDA is a reasonable and necessary support for them under Secti</w:t>
      </w:r>
      <w:r>
        <w:t>on 34 of the </w:t>
      </w:r>
      <w:r>
        <w:rPr>
          <w:i/>
        </w:rPr>
        <w:t>NDIS Act 2013</w:t>
      </w:r>
      <w:r>
        <w:t>.</w:t>
      </w:r>
    </w:p>
    <w:p w14:paraId="779A26F3" w14:textId="77777777" w:rsidR="004F5461" w:rsidRDefault="00EF1EF6">
      <w:pPr>
        <w:pStyle w:val="Heading2"/>
      </w:pPr>
      <w:r>
        <w:t>Background</w:t>
      </w:r>
    </w:p>
    <w:p w14:paraId="6FD538C7" w14:textId="77777777" w:rsidR="004F5461" w:rsidRDefault="00EF1EF6">
      <w:r>
        <w:t xml:space="preserve">The priorities of all levels of government changed with the worldwide outbreak of the COVID-19 pandemic. The attention of health and the NDIA turned to discharging people who are medically stable from hospitals. </w:t>
      </w:r>
    </w:p>
    <w:p w14:paraId="61F017E9" w14:textId="77777777" w:rsidR="004F5461" w:rsidRDefault="00EF1EF6">
      <w:r>
        <w:t>We a</w:t>
      </w:r>
      <w:r>
        <w:t xml:space="preserve">re seeing greater use of </w:t>
      </w:r>
      <w:proofErr w:type="gramStart"/>
      <w:r>
        <w:t>Medium Term</w:t>
      </w:r>
      <w:proofErr w:type="gramEnd"/>
      <w:r>
        <w:t xml:space="preserve"> Accommodation (MTA) particularly by people in hospital who need complex home modifications to return home.  For up-to-date information see: </w:t>
      </w:r>
      <w:hyperlink r:id="rId9">
        <w:r>
          <w:rPr>
            <w:color w:val="0000FF"/>
            <w:u w:val="single"/>
          </w:rPr>
          <w:t>NDIS Operational Guideline on MTA</w:t>
        </w:r>
      </w:hyperlink>
      <w:r>
        <w:t>.</w:t>
      </w:r>
    </w:p>
    <w:p w14:paraId="52D23BF5" w14:textId="77777777" w:rsidR="004F5461" w:rsidRDefault="00EF1EF6">
      <w:pPr>
        <w:rPr>
          <w:color w:val="0000FF"/>
          <w:u w:val="single"/>
        </w:rPr>
      </w:pPr>
      <w:r>
        <w:t>The NDIA is also working to streamline approvals for home modifications, assistive technology, SDA and Supported Independent Living (SIL) for younger people in aged care and tho</w:t>
      </w:r>
      <w:r>
        <w:t xml:space="preserve">se at risk. See: </w:t>
      </w:r>
      <w:hyperlink r:id="rId10" w:anchor="complex-home-modification-chm-assessments">
        <w:r>
          <w:rPr>
            <w:color w:val="0000FF"/>
            <w:u w:val="single"/>
          </w:rPr>
          <w:t>ndis.gov.au/providers/housing-and-living-supports-and-services/providi</w:t>
        </w:r>
        <w:r>
          <w:rPr>
            <w:color w:val="0000FF"/>
            <w:u w:val="single"/>
          </w:rPr>
          <w:t>ng-home-modifications#complex-home-modification-chm-assessments</w:t>
        </w:r>
      </w:hyperlink>
      <w:r>
        <w:rPr>
          <w:color w:val="0000FF"/>
          <w:u w:val="single"/>
        </w:rPr>
        <w:t xml:space="preserve"> </w:t>
      </w:r>
    </w:p>
    <w:p w14:paraId="6652F893" w14:textId="77777777" w:rsidR="004F5461" w:rsidRDefault="00EF1EF6">
      <w:pPr>
        <w:rPr>
          <w:color w:val="000000"/>
        </w:rPr>
      </w:pPr>
      <w:r>
        <w:rPr>
          <w:color w:val="000000"/>
        </w:rPr>
        <w:t xml:space="preserve">Also read the NDIS Operational Guidelines for </w:t>
      </w:r>
      <w:hyperlink r:id="rId11">
        <w:r>
          <w:rPr>
            <w:color w:val="0000FF"/>
            <w:u w:val="single"/>
          </w:rPr>
          <w:t xml:space="preserve">Young People in Residential Aged </w:t>
        </w:r>
        <w:r>
          <w:rPr>
            <w:color w:val="0000FF"/>
            <w:u w:val="single"/>
          </w:rPr>
          <w:t>Care</w:t>
        </w:r>
      </w:hyperlink>
      <w:r>
        <w:rPr>
          <w:color w:val="000000"/>
        </w:rPr>
        <w:t xml:space="preserve"> </w:t>
      </w:r>
    </w:p>
    <w:p w14:paraId="1816FFB0" w14:textId="77777777" w:rsidR="004F5461" w:rsidRDefault="004F5461"/>
    <w:p w14:paraId="455BC613" w14:textId="77777777" w:rsidR="004F5461" w:rsidRDefault="00EF1EF6">
      <w:pPr>
        <w:pStyle w:val="Heading2"/>
      </w:pPr>
      <w:r>
        <w:lastRenderedPageBreak/>
        <w:t>Housing and support under the NDIS</w:t>
      </w:r>
    </w:p>
    <w:p w14:paraId="6CCA9726" w14:textId="77777777" w:rsidR="004F5461" w:rsidRDefault="00EF1EF6">
      <w:r>
        <w:t>People whose disability prevents them from living in a mainstream housing option may be eligible for SDA funding. Support coordinators should assist them in gathering relevant evidence and submitting it to the NDIA</w:t>
      </w:r>
      <w:r>
        <w:t>. The SDA Panel decides whether SDA is a reasonable and necessary support for them. </w:t>
      </w:r>
    </w:p>
    <w:p w14:paraId="33157B40" w14:textId="77777777" w:rsidR="004F5461" w:rsidRDefault="00EF1EF6">
      <w:r>
        <w:t>SDA is housing specially designed or modified to suit the needs of people who have an 'extreme functional impairment' or 'very high support needs'. You can find out more a</w:t>
      </w:r>
      <w:r>
        <w:t>bout SDA payments in our SDA payments guide: </w:t>
      </w:r>
      <w:hyperlink r:id="rId12">
        <w:r>
          <w:rPr>
            <w:color w:val="0000FF"/>
            <w:u w:val="single"/>
          </w:rPr>
          <w:t>summerfoundation.org.au/resources/</w:t>
        </w:r>
        <w:proofErr w:type="spellStart"/>
        <w:r>
          <w:rPr>
            <w:color w:val="0000FF"/>
            <w:u w:val="single"/>
          </w:rPr>
          <w:t>sda</w:t>
        </w:r>
        <w:proofErr w:type="spellEnd"/>
        <w:r>
          <w:rPr>
            <w:color w:val="0000FF"/>
            <w:u w:val="single"/>
          </w:rPr>
          <w:t>-payments-guide/</w:t>
        </w:r>
      </w:hyperlink>
    </w:p>
    <w:p w14:paraId="5A261632" w14:textId="77777777" w:rsidR="004F5461" w:rsidRDefault="00EF1EF6">
      <w:r>
        <w:t>NDIS support coordinators and allied health professionals need to underst</w:t>
      </w:r>
      <w:r>
        <w:t>and how the NDIA applies Section 34, reasonable and necessary, of the </w:t>
      </w:r>
      <w:r>
        <w:rPr>
          <w:i/>
        </w:rPr>
        <w:t>NDIS Act 2013</w:t>
      </w:r>
      <w:r>
        <w:t>, to housing-related supports, particularly SDA. They also need to understand SDA Rules 2020, particularly Rule 12 &amp; 13 on eligibility and Rule 14 on meeting the SDA needs r</w:t>
      </w:r>
      <w:r>
        <w:t xml:space="preserve">equirement.   </w:t>
      </w:r>
    </w:p>
    <w:p w14:paraId="022E751A" w14:textId="77777777" w:rsidR="004F5461" w:rsidRDefault="00EF1EF6">
      <w:r>
        <w:t>People under 65 in residential aged care or at risk of admission to RAC, with complex disability support needs, whose disability prevents them living in a mainstream housing option, may only need to submit a Participant Housing Statement between 2 and 5 pa</w:t>
      </w:r>
      <w:r>
        <w:t xml:space="preserve">ges long. Submit the Participant Housing Statement with supporting documentation to the NDIA. Supporting documentation includes allied health assessments, carer statements, RAC care plans, incident and police reports. We have developed a </w:t>
      </w:r>
      <w:hyperlink r:id="rId13">
        <w:r>
          <w:rPr>
            <w:color w:val="0000FF"/>
            <w:u w:val="single"/>
          </w:rPr>
          <w:t>Participant Housing Statement template</w:t>
        </w:r>
      </w:hyperlink>
      <w:r>
        <w:t xml:space="preserve"> to assist.</w:t>
      </w:r>
    </w:p>
    <w:p w14:paraId="4B4F205D" w14:textId="77777777" w:rsidR="004F5461" w:rsidRDefault="00EF1EF6">
      <w:r>
        <w:t>For all other NDIS participants testing their eligibility for SDA, we recommend submitting a</w:t>
      </w:r>
      <w:r>
        <w:t xml:space="preserve"> Housing Plan. See our How to Write a Housing Plan Guide and Template, </w:t>
      </w:r>
      <w:hyperlink r:id="rId14">
        <w:r>
          <w:rPr>
            <w:color w:val="0000FF"/>
            <w:u w:val="single"/>
          </w:rPr>
          <w:t>summerfoundation.org.au/resources/how-to-write-a-housing-plan/</w:t>
        </w:r>
      </w:hyperlink>
      <w:r>
        <w:t xml:space="preserve"> </w:t>
      </w:r>
    </w:p>
    <w:p w14:paraId="3599794A" w14:textId="77777777" w:rsidR="004F5461" w:rsidRDefault="00EF1EF6">
      <w:r>
        <w:t>Providing extensive evidence to the NDIA supports people's choice and control and guards against the NDIA funding them to live in a group home. </w:t>
      </w:r>
    </w:p>
    <w:p w14:paraId="5BCECCC5" w14:textId="77777777" w:rsidR="004F5461" w:rsidRDefault="004F5461"/>
    <w:p w14:paraId="279286F2" w14:textId="77777777" w:rsidR="004F5461" w:rsidRDefault="00EF1EF6">
      <w:r>
        <w:rPr>
          <w:b/>
        </w:rPr>
        <w:t>Considerations</w:t>
      </w:r>
    </w:p>
    <w:p w14:paraId="3B4FC28A" w14:textId="77777777" w:rsidR="004F5461" w:rsidRDefault="00EF1EF6">
      <w:pPr>
        <w:rPr>
          <w:b/>
          <w:color w:val="CF1F5D"/>
          <w:sz w:val="30"/>
          <w:szCs w:val="30"/>
        </w:rPr>
      </w:pPr>
      <w:r>
        <w:t>The decision to supplement allied health reports with a Housing Plan or a Participant Housing S</w:t>
      </w:r>
      <w:r>
        <w:t>tatement rests with the participant. Consider the circumstances and preferred housing outcome when the decision is being made.</w:t>
      </w:r>
      <w:r>
        <w:br w:type="page"/>
      </w:r>
    </w:p>
    <w:p w14:paraId="7DE6ECB0" w14:textId="77777777" w:rsidR="004F5461" w:rsidRDefault="00EF1EF6">
      <w:pPr>
        <w:pStyle w:val="Heading2"/>
      </w:pPr>
      <w:r>
        <w:lastRenderedPageBreak/>
        <w:t>Transition Plan</w:t>
      </w:r>
    </w:p>
    <w:p w14:paraId="1F1323DC" w14:textId="77777777" w:rsidR="004F5461" w:rsidRDefault="00EF1EF6">
      <w:pPr>
        <w:pStyle w:val="Heading2"/>
        <w:rPr>
          <w:b w:val="0"/>
          <w:color w:val="000000"/>
          <w:sz w:val="24"/>
          <w:szCs w:val="24"/>
        </w:rPr>
      </w:pPr>
      <w:r>
        <w:rPr>
          <w:b w:val="0"/>
          <w:color w:val="000000"/>
          <w:sz w:val="24"/>
          <w:szCs w:val="24"/>
        </w:rPr>
        <w:t xml:space="preserve">We also recommend that NDIS support coordinators and allied health professionals collaborate with the person to </w:t>
      </w:r>
      <w:r>
        <w:rPr>
          <w:b w:val="0"/>
          <w:color w:val="000000"/>
          <w:sz w:val="24"/>
          <w:szCs w:val="24"/>
        </w:rPr>
        <w:t>develop and submit a transition plan. A transition plan should detail all the capacity building supports that the person will require to transition into a new housing and support arrangement. Consider what's needed to build a person's capacity to prepare f</w:t>
      </w:r>
      <w:r>
        <w:rPr>
          <w:b w:val="0"/>
          <w:color w:val="000000"/>
          <w:sz w:val="24"/>
          <w:szCs w:val="24"/>
        </w:rPr>
        <w:t>or moving, to move, and to establish a sustainable tenancy in their preferred housing with a sustainable mix of NDIS and mainstream supports.</w:t>
      </w:r>
    </w:p>
    <w:p w14:paraId="3C537594" w14:textId="77777777" w:rsidR="004F5461" w:rsidRDefault="00EF1EF6">
      <w:pPr>
        <w:pStyle w:val="Heading2"/>
        <w:rPr>
          <w:b w:val="0"/>
          <w:color w:val="000000"/>
          <w:sz w:val="24"/>
          <w:szCs w:val="24"/>
        </w:rPr>
      </w:pPr>
      <w:r>
        <w:rPr>
          <w:b w:val="0"/>
          <w:color w:val="000000"/>
          <w:sz w:val="24"/>
          <w:szCs w:val="24"/>
        </w:rPr>
        <w:t>The transition plan must include evidence-based reports by allied health professionals based on validated assessme</w:t>
      </w:r>
      <w:r>
        <w:rPr>
          <w:b w:val="0"/>
          <w:color w:val="000000"/>
          <w:sz w:val="24"/>
          <w:szCs w:val="24"/>
        </w:rPr>
        <w:t xml:space="preserve">nts that document the capacity building required to establish a sustainable tenancy. </w:t>
      </w:r>
    </w:p>
    <w:p w14:paraId="68D2939E" w14:textId="77777777" w:rsidR="004F5461" w:rsidRDefault="00EF1EF6">
      <w:pPr>
        <w:pStyle w:val="Heading2"/>
      </w:pPr>
      <w:r>
        <w:t>Helpful resources</w:t>
      </w:r>
    </w:p>
    <w:p w14:paraId="717600F8" w14:textId="77777777" w:rsidR="004F5461" w:rsidRDefault="00EF1EF6">
      <w:r>
        <w:t>This guide is part of a series of NDIS housing information resources prepared by the Summer Foundation. You can access the other resources here: </w:t>
      </w:r>
      <w:hyperlink r:id="rId15">
        <w:r>
          <w:rPr>
            <w:color w:val="0000FF"/>
            <w:u w:val="single"/>
          </w:rPr>
          <w:t>summerfoundation.org.au/</w:t>
        </w:r>
        <w:proofErr w:type="spellStart"/>
        <w:r>
          <w:rPr>
            <w:color w:val="0000FF"/>
            <w:u w:val="single"/>
          </w:rPr>
          <w:t>ndis</w:t>
        </w:r>
        <w:proofErr w:type="spellEnd"/>
        <w:r>
          <w:rPr>
            <w:color w:val="0000FF"/>
            <w:u w:val="single"/>
          </w:rPr>
          <w:t>-housing-resources/</w:t>
        </w:r>
      </w:hyperlink>
    </w:p>
    <w:p w14:paraId="57100B80" w14:textId="77777777" w:rsidR="004F5461" w:rsidRDefault="00EF1EF6">
      <w:r>
        <w:t>Complete the SDA Participant Housing Statement using the information provided by the person you're working with and captured in My Housin</w:t>
      </w:r>
      <w:r>
        <w:t>g Preferences: </w:t>
      </w:r>
      <w:hyperlink r:id="rId16">
        <w:r>
          <w:rPr>
            <w:color w:val="0000FF"/>
            <w:u w:val="single"/>
          </w:rPr>
          <w:t>summerfoundation.org.au/resources/my- housing-preferences/</w:t>
        </w:r>
      </w:hyperlink>
    </w:p>
    <w:p w14:paraId="1D960C70" w14:textId="77777777" w:rsidR="004F5461" w:rsidRDefault="00EF1EF6">
      <w:r>
        <w:t xml:space="preserve">NDIS allied health professionals must undertake recognised assessments and provide written </w:t>
      </w:r>
      <w:r>
        <w:t xml:space="preserve">reports that address the eligibility criteria set out in Section 12, 13, 14 or the </w:t>
      </w:r>
      <w:r>
        <w:rPr>
          <w:i/>
        </w:rPr>
        <w:t>SDA Rules 2020</w:t>
      </w:r>
      <w:r>
        <w:t>: </w:t>
      </w:r>
      <w:hyperlink r:id="rId17">
        <w:r>
          <w:rPr>
            <w:color w:val="0000FF"/>
            <w:u w:val="single"/>
          </w:rPr>
          <w:t>legislation.gov.au/Details/F2019C0025</w:t>
        </w:r>
      </w:hyperlink>
    </w:p>
    <w:p w14:paraId="2067DD7C" w14:textId="77777777" w:rsidR="004F5461" w:rsidRDefault="00EF1EF6">
      <w:r>
        <w:t xml:space="preserve">Allied health professionals should read </w:t>
      </w:r>
      <w:proofErr w:type="spellStart"/>
      <w:r>
        <w:t>Valid's</w:t>
      </w:r>
      <w:proofErr w:type="spellEnd"/>
      <w:r>
        <w:t xml:space="preserve"> 10 </w:t>
      </w:r>
      <w:r>
        <w:t>steps to excellent NDIS allied therapy reports: </w:t>
      </w:r>
      <w:hyperlink r:id="rId18">
        <w:r>
          <w:rPr>
            <w:color w:val="0000FF"/>
            <w:u w:val="single"/>
          </w:rPr>
          <w:t>valid.org.au/10-steps-excellent-ndis-therapy-reports</w:t>
        </w:r>
      </w:hyperlink>
    </w:p>
    <w:p w14:paraId="4BA8ABBF" w14:textId="77777777" w:rsidR="004F5461" w:rsidRDefault="00EF1EF6">
      <w:r>
        <w:t>The Summer Foundation's Allied Health Housing Assessments Guide (</w:t>
      </w:r>
      <w:hyperlink r:id="rId19">
        <w:r>
          <w:rPr>
            <w:color w:val="0000FF"/>
            <w:u w:val="single"/>
          </w:rPr>
          <w:t>summerfoundation.org.au/resources/allied-health-housing- assessments/</w:t>
        </w:r>
      </w:hyperlink>
      <w:r>
        <w:t>) lists validated assessments for various impairments. It also contains a sample service agr</w:t>
      </w:r>
      <w:r>
        <w:t>eement to assist in ensuring allied health professionals are capable of providing relevant assessments that address the </w:t>
      </w:r>
      <w:r>
        <w:rPr>
          <w:i/>
        </w:rPr>
        <w:t>SDA Rules 2020</w:t>
      </w:r>
      <w:r>
        <w:t>.</w:t>
      </w:r>
    </w:p>
    <w:p w14:paraId="20D1A617" w14:textId="77777777" w:rsidR="004F5461" w:rsidRDefault="004F5461"/>
    <w:p w14:paraId="25DD82D2" w14:textId="77777777" w:rsidR="004F5461" w:rsidRDefault="00EF1EF6">
      <w:r>
        <w:t xml:space="preserve"> </w:t>
      </w:r>
    </w:p>
    <w:p w14:paraId="3DF06A30" w14:textId="77777777" w:rsidR="004F5461" w:rsidRDefault="00EF1EF6">
      <w:pPr>
        <w:spacing w:after="0" w:line="240" w:lineRule="auto"/>
        <w:rPr>
          <w:b/>
          <w:color w:val="CF1F5D"/>
          <w:sz w:val="30"/>
          <w:szCs w:val="30"/>
        </w:rPr>
      </w:pPr>
      <w:r>
        <w:br w:type="page"/>
      </w:r>
    </w:p>
    <w:p w14:paraId="4B267A3F" w14:textId="77777777" w:rsidR="004F5461" w:rsidRDefault="00EF1EF6">
      <w:pPr>
        <w:pStyle w:val="Heading2"/>
      </w:pPr>
      <w:r>
        <w:lastRenderedPageBreak/>
        <w:t>Allied health assessments checklist</w:t>
      </w:r>
    </w:p>
    <w:p w14:paraId="1E2C8F51" w14:textId="77777777" w:rsidR="004F5461" w:rsidRDefault="00EF1EF6">
      <w:pPr>
        <w:pStyle w:val="Heading4"/>
      </w:pPr>
      <w:r>
        <w:t xml:space="preserve">Explain how SDA will: </w:t>
      </w:r>
    </w:p>
    <w:p w14:paraId="2E82D465" w14:textId="77777777" w:rsidR="004F5461" w:rsidRDefault="00EF1EF6">
      <w:pPr>
        <w:numPr>
          <w:ilvl w:val="0"/>
          <w:numId w:val="1"/>
        </w:numPr>
        <w:pBdr>
          <w:top w:val="nil"/>
          <w:left w:val="nil"/>
          <w:bottom w:val="nil"/>
          <w:right w:val="nil"/>
          <w:between w:val="nil"/>
        </w:pBdr>
        <w:spacing w:after="80"/>
      </w:pPr>
      <w:r>
        <w:rPr>
          <w:color w:val="000000"/>
        </w:rPr>
        <w:t>Assist the person in achieving their goals</w:t>
      </w:r>
    </w:p>
    <w:p w14:paraId="6C1AE27B" w14:textId="77777777" w:rsidR="004F5461" w:rsidRDefault="00EF1EF6">
      <w:pPr>
        <w:numPr>
          <w:ilvl w:val="0"/>
          <w:numId w:val="1"/>
        </w:numPr>
        <w:pBdr>
          <w:top w:val="nil"/>
          <w:left w:val="nil"/>
          <w:bottom w:val="nil"/>
          <w:right w:val="nil"/>
          <w:between w:val="nil"/>
        </w:pBdr>
        <w:spacing w:after="80"/>
      </w:pPr>
      <w:r>
        <w:rPr>
          <w:color w:val="000000"/>
        </w:rPr>
        <w:t xml:space="preserve">Prevent the deterioration of the person’s condition </w:t>
      </w:r>
    </w:p>
    <w:p w14:paraId="5E6F86F0" w14:textId="77777777" w:rsidR="004F5461" w:rsidRDefault="00EF1EF6">
      <w:pPr>
        <w:numPr>
          <w:ilvl w:val="0"/>
          <w:numId w:val="1"/>
        </w:numPr>
        <w:pBdr>
          <w:top w:val="nil"/>
          <w:left w:val="nil"/>
          <w:bottom w:val="nil"/>
          <w:right w:val="nil"/>
          <w:between w:val="nil"/>
        </w:pBdr>
        <w:spacing w:after="80"/>
      </w:pPr>
      <w:r>
        <w:rPr>
          <w:color w:val="000000"/>
        </w:rPr>
        <w:t xml:space="preserve">Support the person to maintain or regain function and maximise their independence </w:t>
      </w:r>
    </w:p>
    <w:p w14:paraId="77988192" w14:textId="77777777" w:rsidR="004F5461" w:rsidRDefault="00EF1EF6">
      <w:pPr>
        <w:numPr>
          <w:ilvl w:val="0"/>
          <w:numId w:val="1"/>
        </w:numPr>
        <w:pBdr>
          <w:top w:val="nil"/>
          <w:left w:val="nil"/>
          <w:bottom w:val="nil"/>
          <w:right w:val="nil"/>
          <w:between w:val="nil"/>
        </w:pBdr>
        <w:spacing w:after="80"/>
      </w:pPr>
      <w:r>
        <w:rPr>
          <w:color w:val="000000"/>
        </w:rPr>
        <w:t xml:space="preserve">Build the person’s capacity </w:t>
      </w:r>
    </w:p>
    <w:p w14:paraId="30AFBCD2" w14:textId="77777777" w:rsidR="004F5461" w:rsidRDefault="00EF1EF6">
      <w:pPr>
        <w:numPr>
          <w:ilvl w:val="0"/>
          <w:numId w:val="1"/>
        </w:numPr>
        <w:pBdr>
          <w:top w:val="nil"/>
          <w:left w:val="nil"/>
          <w:bottom w:val="nil"/>
          <w:right w:val="nil"/>
          <w:between w:val="nil"/>
        </w:pBdr>
        <w:spacing w:after="80"/>
      </w:pPr>
      <w:r>
        <w:rPr>
          <w:color w:val="000000"/>
        </w:rPr>
        <w:t>Provide value for money</w:t>
      </w:r>
    </w:p>
    <w:p w14:paraId="60EB84A7" w14:textId="77777777" w:rsidR="004F5461" w:rsidRDefault="00EF1EF6">
      <w:pPr>
        <w:numPr>
          <w:ilvl w:val="0"/>
          <w:numId w:val="1"/>
        </w:numPr>
        <w:pBdr>
          <w:top w:val="nil"/>
          <w:left w:val="nil"/>
          <w:bottom w:val="nil"/>
          <w:right w:val="nil"/>
          <w:between w:val="nil"/>
        </w:pBdr>
        <w:spacing w:after="80"/>
      </w:pPr>
      <w:r>
        <w:rPr>
          <w:color w:val="000000"/>
        </w:rPr>
        <w:t>Facilitate the delivery of appropriate supports for the person, given their age and current life stage</w:t>
      </w:r>
    </w:p>
    <w:p w14:paraId="464CD5A1" w14:textId="77777777" w:rsidR="004F5461" w:rsidRDefault="00EF1EF6">
      <w:pPr>
        <w:pStyle w:val="Heading2"/>
      </w:pPr>
      <w:r>
        <w:t>Ensure the allied health professional reports recommend:</w:t>
      </w:r>
    </w:p>
    <w:p w14:paraId="0CAC6EF6" w14:textId="77777777" w:rsidR="004F5461" w:rsidRDefault="00EF1EF6">
      <w:pPr>
        <w:numPr>
          <w:ilvl w:val="0"/>
          <w:numId w:val="3"/>
        </w:numPr>
        <w:pBdr>
          <w:top w:val="nil"/>
          <w:left w:val="nil"/>
          <w:bottom w:val="nil"/>
          <w:right w:val="nil"/>
          <w:between w:val="nil"/>
        </w:pBdr>
        <w:spacing w:after="240"/>
        <w:rPr>
          <w:color w:val="000000"/>
        </w:rPr>
      </w:pPr>
      <w:r>
        <w:rPr>
          <w:color w:val="000000"/>
        </w:rPr>
        <w:t>The SDA response that will best facilitate the delivery of person-to-person supports.</w:t>
      </w:r>
    </w:p>
    <w:p w14:paraId="4E29954E" w14:textId="77777777" w:rsidR="004F5461" w:rsidRDefault="00EF1EF6">
      <w:pPr>
        <w:numPr>
          <w:ilvl w:val="0"/>
          <w:numId w:val="3"/>
        </w:numPr>
        <w:pBdr>
          <w:top w:val="nil"/>
          <w:left w:val="nil"/>
          <w:bottom w:val="nil"/>
          <w:right w:val="nil"/>
          <w:between w:val="nil"/>
        </w:pBdr>
        <w:spacing w:after="240"/>
        <w:rPr>
          <w:color w:val="000000"/>
        </w:rPr>
      </w:pPr>
      <w:r>
        <w:rPr>
          <w:color w:val="000000"/>
        </w:rPr>
        <w:t>The SDA de</w:t>
      </w:r>
      <w:r>
        <w:rPr>
          <w:color w:val="000000"/>
        </w:rPr>
        <w:t xml:space="preserve">sign category that best meets the environmental needs described in </w:t>
      </w:r>
      <w:r>
        <w:rPr>
          <w:color w:val="000000"/>
        </w:rPr>
        <w:br/>
        <w:t>the report.</w:t>
      </w:r>
    </w:p>
    <w:p w14:paraId="2C51A52F" w14:textId="77777777" w:rsidR="004F5461" w:rsidRDefault="00EF1EF6">
      <w:pPr>
        <w:numPr>
          <w:ilvl w:val="0"/>
          <w:numId w:val="3"/>
        </w:numPr>
        <w:pBdr>
          <w:top w:val="nil"/>
          <w:left w:val="nil"/>
          <w:bottom w:val="nil"/>
          <w:right w:val="nil"/>
          <w:between w:val="nil"/>
        </w:pBdr>
        <w:spacing w:after="240"/>
        <w:rPr>
          <w:color w:val="000000"/>
        </w:rPr>
      </w:pPr>
      <w:r>
        <w:rPr>
          <w:color w:val="000000"/>
        </w:rPr>
        <w:t>The person's preferred building type and the reasons behind their preference. Do they link the building type back to the person's goal and provide information on how it can max</w:t>
      </w:r>
      <w:r>
        <w:rPr>
          <w:color w:val="000000"/>
        </w:rPr>
        <w:t>imise the person's independence?</w:t>
      </w:r>
    </w:p>
    <w:p w14:paraId="533AB95D" w14:textId="77777777" w:rsidR="004F5461" w:rsidRDefault="00EF1EF6">
      <w:pPr>
        <w:numPr>
          <w:ilvl w:val="0"/>
          <w:numId w:val="3"/>
        </w:numPr>
        <w:pBdr>
          <w:top w:val="nil"/>
          <w:left w:val="nil"/>
          <w:bottom w:val="nil"/>
          <w:right w:val="nil"/>
          <w:between w:val="nil"/>
        </w:pBdr>
        <w:spacing w:after="240"/>
        <w:rPr>
          <w:color w:val="000000"/>
        </w:rPr>
      </w:pPr>
      <w:r>
        <w:rPr>
          <w:color w:val="000000"/>
        </w:rPr>
        <w:t>The person's preferred occupancy arrangements and the reasons behind their preference. Do they link the occupancy arrangements back to the person's goal and provide information on how it can maximise the person's independen</w:t>
      </w:r>
      <w:r>
        <w:rPr>
          <w:color w:val="000000"/>
        </w:rPr>
        <w:t>ce?</w:t>
      </w:r>
    </w:p>
    <w:p w14:paraId="0EE614F5" w14:textId="77777777" w:rsidR="004F5461" w:rsidRDefault="00EF1EF6">
      <w:pPr>
        <w:numPr>
          <w:ilvl w:val="0"/>
          <w:numId w:val="3"/>
        </w:numPr>
        <w:pBdr>
          <w:top w:val="nil"/>
          <w:left w:val="nil"/>
          <w:bottom w:val="nil"/>
          <w:right w:val="nil"/>
          <w:between w:val="nil"/>
        </w:pBdr>
        <w:spacing w:after="240"/>
        <w:rPr>
          <w:color w:val="000000"/>
        </w:rPr>
      </w:pPr>
      <w:r>
        <w:rPr>
          <w:color w:val="000000"/>
        </w:rPr>
        <w:t>The person's preferred location and the reasons behind their preference. Do they link the preferred location back to the person's goal and provide information on how it can maximise the person's independence?</w:t>
      </w:r>
    </w:p>
    <w:p w14:paraId="2BBEAB42" w14:textId="77777777" w:rsidR="004F5461" w:rsidRDefault="00EF1EF6">
      <w:pPr>
        <w:numPr>
          <w:ilvl w:val="0"/>
          <w:numId w:val="3"/>
        </w:numPr>
        <w:pBdr>
          <w:top w:val="nil"/>
          <w:left w:val="nil"/>
          <w:bottom w:val="nil"/>
          <w:right w:val="nil"/>
          <w:between w:val="nil"/>
        </w:pBdr>
        <w:spacing w:after="240"/>
        <w:rPr>
          <w:color w:val="000000"/>
        </w:rPr>
      </w:pPr>
      <w:r>
        <w:rPr>
          <w:color w:val="000000"/>
        </w:rPr>
        <w:t>Prescriptions for all equipment and assisti</w:t>
      </w:r>
      <w:r>
        <w:rPr>
          <w:color w:val="000000"/>
        </w:rPr>
        <w:t>ve technology the person needs.</w:t>
      </w:r>
    </w:p>
    <w:p w14:paraId="4CBCDBEA" w14:textId="77777777" w:rsidR="004F5461" w:rsidRDefault="00EF1EF6">
      <w:pPr>
        <w:rPr>
          <w:b/>
        </w:rPr>
      </w:pPr>
      <w:r>
        <w:rPr>
          <w:b/>
        </w:rPr>
        <w:t>Overall checklist</w:t>
      </w:r>
    </w:p>
    <w:p w14:paraId="044D9127" w14:textId="77777777" w:rsidR="004F5461" w:rsidRDefault="00EF1EF6">
      <w:pPr>
        <w:numPr>
          <w:ilvl w:val="0"/>
          <w:numId w:val="2"/>
        </w:numPr>
      </w:pPr>
      <w:r>
        <w:t>Participant Housing Statement</w:t>
      </w:r>
    </w:p>
    <w:p w14:paraId="2EC64349" w14:textId="77777777" w:rsidR="004F5461" w:rsidRDefault="00EF1EF6">
      <w:pPr>
        <w:numPr>
          <w:ilvl w:val="0"/>
          <w:numId w:val="2"/>
        </w:numPr>
      </w:pPr>
      <w:r>
        <w:t>Allied health reports, including any current or future risks and mitigation strategies</w:t>
      </w:r>
    </w:p>
    <w:p w14:paraId="07101141" w14:textId="77777777" w:rsidR="004F5461" w:rsidRDefault="00EF1EF6">
      <w:pPr>
        <w:numPr>
          <w:ilvl w:val="0"/>
          <w:numId w:val="2"/>
        </w:numPr>
      </w:pPr>
      <w:r>
        <w:t>Transition plan</w:t>
      </w:r>
    </w:p>
    <w:p w14:paraId="0E7293E7" w14:textId="77777777" w:rsidR="004F5461" w:rsidRDefault="00EF1EF6">
      <w:pPr>
        <w:numPr>
          <w:ilvl w:val="0"/>
          <w:numId w:val="2"/>
        </w:numPr>
      </w:pPr>
      <w:r>
        <w:t>Equipment and assistive technology prescriptions</w:t>
      </w:r>
    </w:p>
    <w:p w14:paraId="5CA0BB9D" w14:textId="77777777" w:rsidR="004F5461" w:rsidRDefault="00EF1EF6">
      <w:r>
        <w:t>You can provide feedback</w:t>
      </w:r>
      <w:r>
        <w:t xml:space="preserve"> on these resources to </w:t>
      </w:r>
      <w:hyperlink r:id="rId20">
        <w:r>
          <w:rPr>
            <w:color w:val="0000FF"/>
            <w:u w:val="single"/>
          </w:rPr>
          <w:t>upskill@summerfoundation.org.au</w:t>
        </w:r>
      </w:hyperlink>
    </w:p>
    <w:sectPr w:rsidR="004F5461">
      <w:headerReference w:type="even" r:id="rId21"/>
      <w:footerReference w:type="even" r:id="rId22"/>
      <w:footerReference w:type="default" r:id="rId23"/>
      <w:footerReference w:type="first" r:id="rId24"/>
      <w:pgSz w:w="11920" w:h="16840"/>
      <w:pgMar w:top="1259" w:right="1276" w:bottom="278" w:left="1276" w:header="748" w:footer="7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C6E0D" w14:textId="77777777" w:rsidR="00EF1EF6" w:rsidRDefault="00EF1EF6">
      <w:pPr>
        <w:spacing w:after="0" w:line="240" w:lineRule="auto"/>
      </w:pPr>
      <w:r>
        <w:separator/>
      </w:r>
    </w:p>
  </w:endnote>
  <w:endnote w:type="continuationSeparator" w:id="0">
    <w:p w14:paraId="61A30FBE" w14:textId="77777777" w:rsidR="00EF1EF6" w:rsidRDefault="00EF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C6F56" w14:textId="77777777" w:rsidR="004F5461" w:rsidRDefault="00EF1EF6">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357F482" w14:textId="77777777" w:rsidR="004F5461" w:rsidRDefault="004F5461">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7698" w14:textId="77777777" w:rsidR="004F5461" w:rsidRDefault="00EF1EF6">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sidR="00A65512">
      <w:rPr>
        <w:color w:val="000000"/>
      </w:rPr>
      <w:fldChar w:fldCharType="separate"/>
    </w:r>
    <w:r w:rsidR="00A65512">
      <w:rPr>
        <w:noProof/>
        <w:color w:val="000000"/>
      </w:rPr>
      <w:t>2</w:t>
    </w:r>
    <w:r>
      <w:rPr>
        <w:color w:val="000000"/>
      </w:rPr>
      <w:fldChar w:fldCharType="end"/>
    </w:r>
  </w:p>
  <w:p w14:paraId="5311A965" w14:textId="77777777" w:rsidR="004F5461" w:rsidRDefault="004F5461">
    <w:pPr>
      <w:pBdr>
        <w:top w:val="nil"/>
        <w:left w:val="nil"/>
        <w:bottom w:val="nil"/>
        <w:right w:val="nil"/>
        <w:between w:val="nil"/>
      </w:pBdr>
      <w:tabs>
        <w:tab w:val="center" w:pos="4320"/>
        <w:tab w:val="right" w:pos="864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FE0B" w14:textId="77777777" w:rsidR="004F5461" w:rsidRDefault="00EF1EF6">
    <w:pPr>
      <w:pBdr>
        <w:top w:val="nil"/>
        <w:left w:val="nil"/>
        <w:bottom w:val="nil"/>
        <w:right w:val="nil"/>
        <w:between w:val="nil"/>
      </w:pBdr>
      <w:tabs>
        <w:tab w:val="center" w:pos="4320"/>
        <w:tab w:val="right" w:pos="8640"/>
      </w:tabs>
      <w:spacing w:line="240" w:lineRule="auto"/>
      <w:jc w:val="right"/>
      <w:rPr>
        <w:color w:val="000000"/>
        <w:sz w:val="20"/>
        <w:szCs w:val="20"/>
      </w:rPr>
    </w:pPr>
    <w:r>
      <w:rPr>
        <w:noProof/>
      </w:rPr>
      <mc:AlternateContent>
        <mc:Choice Requires="wpg">
          <w:drawing>
            <wp:anchor distT="0" distB="0" distL="114300" distR="114300" simplePos="0" relativeHeight="251658240" behindDoc="0" locked="0" layoutInCell="1" hidden="0" allowOverlap="1" wp14:anchorId="0B65AAC0" wp14:editId="56544FE8">
              <wp:simplePos x="0" y="0"/>
              <wp:positionH relativeFrom="column">
                <wp:posOffset>1</wp:posOffset>
              </wp:positionH>
              <wp:positionV relativeFrom="paragraph">
                <wp:posOffset>-482599</wp:posOffset>
              </wp:positionV>
              <wp:extent cx="5892165" cy="22225"/>
              <wp:effectExtent l="0" t="0" r="0" b="0"/>
              <wp:wrapNone/>
              <wp:docPr id="43" name="Straight Arrow Connector 43"/>
              <wp:cNvGraphicFramePr/>
              <a:graphic xmlns:a="http://schemas.openxmlformats.org/drawingml/2006/main">
                <a:graphicData uri="http://schemas.microsoft.com/office/word/2010/wordprocessingShape">
                  <wps:wsp>
                    <wps:cNvCnPr/>
                    <wps:spPr>
                      <a:xfrm>
                        <a:off x="2404680" y="3773650"/>
                        <a:ext cx="588264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-482599</wp:posOffset>
              </wp:positionV>
              <wp:extent cx="5892165" cy="22225"/>
              <wp:effectExtent b="0" l="0" r="0" t="0"/>
              <wp:wrapNone/>
              <wp:docPr id="4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92165" cy="222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B8A4E0B" wp14:editId="03E1093D">
          <wp:simplePos x="0" y="0"/>
          <wp:positionH relativeFrom="column">
            <wp:posOffset>1</wp:posOffset>
          </wp:positionH>
          <wp:positionV relativeFrom="paragraph">
            <wp:posOffset>-342264</wp:posOffset>
          </wp:positionV>
          <wp:extent cx="1767840" cy="835660"/>
          <wp:effectExtent l="0" t="0" r="0" b="0"/>
          <wp:wrapNone/>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67840" cy="83566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6B2C2BC5" wp14:editId="189810C4">
              <wp:simplePos x="0" y="0"/>
              <wp:positionH relativeFrom="column">
                <wp:posOffset>2794000</wp:posOffset>
              </wp:positionH>
              <wp:positionV relativeFrom="paragraph">
                <wp:posOffset>-101599</wp:posOffset>
              </wp:positionV>
              <wp:extent cx="3087370" cy="496570"/>
              <wp:effectExtent l="0" t="0" r="0" b="0"/>
              <wp:wrapNone/>
              <wp:docPr id="44" name="Rectangle 44"/>
              <wp:cNvGraphicFramePr/>
              <a:graphic xmlns:a="http://schemas.openxmlformats.org/drawingml/2006/main">
                <a:graphicData uri="http://schemas.microsoft.com/office/word/2010/wordprocessingShape">
                  <wps:wsp>
                    <wps:cNvSpPr/>
                    <wps:spPr>
                      <a:xfrm>
                        <a:off x="3807078" y="3536478"/>
                        <a:ext cx="3077845" cy="487045"/>
                      </a:xfrm>
                      <a:prstGeom prst="rect">
                        <a:avLst/>
                      </a:prstGeom>
                      <a:solidFill>
                        <a:schemeClr val="lt1">
                          <a:alpha val="0"/>
                        </a:schemeClr>
                      </a:solidFill>
                      <a:ln w="9525" cap="flat" cmpd="sng">
                        <a:solidFill>
                          <a:schemeClr val="lt1">
                            <a:alpha val="0"/>
                          </a:schemeClr>
                        </a:solidFill>
                        <a:prstDash val="solid"/>
                        <a:round/>
                        <a:headEnd type="none" w="sm" len="sm"/>
                        <a:tailEnd type="none" w="sm" len="sm"/>
                      </a:ln>
                    </wps:spPr>
                    <wps:txbx>
                      <w:txbxContent>
                        <w:p w14:paraId="1CC7EDC5" w14:textId="77777777" w:rsidR="004F5461" w:rsidRDefault="00EF1EF6">
                          <w:pPr>
                            <w:spacing w:before="160" w:line="275" w:lineRule="auto"/>
                            <w:ind w:left="425" w:firstLine="850"/>
                            <w:jc w:val="right"/>
                            <w:textDirection w:val="btLr"/>
                          </w:pPr>
                          <w:r>
                            <w:rPr>
                              <w:color w:val="F49B34"/>
                              <w:sz w:val="22"/>
                            </w:rPr>
                            <w:t>www.summerfoundation.org.au</w:t>
                          </w:r>
                        </w:p>
                        <w:p w14:paraId="3CF96BBE" w14:textId="77777777" w:rsidR="004F5461" w:rsidRDefault="004F5461">
                          <w:pPr>
                            <w:spacing w:line="360" w:lineRule="auto"/>
                            <w:ind w:left="680" w:firstLine="1020"/>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-101599</wp:posOffset>
              </wp:positionV>
              <wp:extent cx="3087370" cy="496570"/>
              <wp:effectExtent b="0" l="0" r="0" t="0"/>
              <wp:wrapNone/>
              <wp:docPr id="4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087370" cy="4965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F2B32" w14:textId="77777777" w:rsidR="00EF1EF6" w:rsidRDefault="00EF1EF6">
      <w:pPr>
        <w:spacing w:after="0" w:line="240" w:lineRule="auto"/>
      </w:pPr>
      <w:r>
        <w:separator/>
      </w:r>
    </w:p>
  </w:footnote>
  <w:footnote w:type="continuationSeparator" w:id="0">
    <w:p w14:paraId="03320958" w14:textId="77777777" w:rsidR="00EF1EF6" w:rsidRDefault="00EF1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0379" w14:textId="77777777" w:rsidR="004F5461" w:rsidRDefault="004F5461">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6A7"/>
    <w:multiLevelType w:val="multilevel"/>
    <w:tmpl w:val="551EC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621107"/>
    <w:multiLevelType w:val="multilevel"/>
    <w:tmpl w:val="D1B6E746"/>
    <w:lvl w:ilvl="0">
      <w:start w:val="5"/>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34381936"/>
    <w:multiLevelType w:val="multilevel"/>
    <w:tmpl w:val="C7CC80EE"/>
    <w:lvl w:ilvl="0">
      <w:start w:val="1"/>
      <w:numFmt w:val="decimal"/>
      <w:pStyle w:val="ListParagraph"/>
      <w:lvlText w:val="%1."/>
      <w:lvlJc w:val="left"/>
      <w:pPr>
        <w:tabs>
          <w:tab w:val="num" w:pos="720"/>
        </w:tabs>
        <w:ind w:left="720" w:hanging="720"/>
      </w:pPr>
    </w:lvl>
    <w:lvl w:ilvl="1">
      <w:start w:val="1"/>
      <w:numFmt w:val="decimal"/>
      <w:pStyle w:val="NDISPart"/>
      <w:lvlText w:val="%2."/>
      <w:lvlJc w:val="left"/>
      <w:pPr>
        <w:tabs>
          <w:tab w:val="num" w:pos="1440"/>
        </w:tabs>
        <w:ind w:left="1440" w:hanging="720"/>
      </w:pPr>
    </w:lvl>
    <w:lvl w:ilvl="2">
      <w:start w:val="1"/>
      <w:numFmt w:val="decimal"/>
      <w:pStyle w:val="NDISDivision"/>
      <w:lvlText w:val="%3."/>
      <w:lvlJc w:val="left"/>
      <w:pPr>
        <w:tabs>
          <w:tab w:val="num" w:pos="2160"/>
        </w:tabs>
        <w:ind w:left="2160" w:hanging="720"/>
      </w:pPr>
    </w:lvl>
    <w:lvl w:ilvl="3">
      <w:start w:val="1"/>
      <w:numFmt w:val="decimal"/>
      <w:pStyle w:val="NDISSubdivision"/>
      <w:lvlText w:val="%4."/>
      <w:lvlJc w:val="left"/>
      <w:pPr>
        <w:tabs>
          <w:tab w:val="num" w:pos="2880"/>
        </w:tabs>
        <w:ind w:left="2880" w:hanging="720"/>
      </w:pPr>
    </w:lvl>
    <w:lvl w:ilvl="4">
      <w:start w:val="1"/>
      <w:numFmt w:val="decimal"/>
      <w:pStyle w:val="NDISSubsection"/>
      <w:lvlText w:val="%5."/>
      <w:lvlJc w:val="left"/>
      <w:pPr>
        <w:tabs>
          <w:tab w:val="num" w:pos="3600"/>
        </w:tabs>
        <w:ind w:left="3600" w:hanging="720"/>
      </w:pPr>
    </w:lvl>
    <w:lvl w:ilvl="5">
      <w:start w:val="1"/>
      <w:numFmt w:val="decimal"/>
      <w:pStyle w:val="NDISParagraph"/>
      <w:lvlText w:val="%6."/>
      <w:lvlJc w:val="left"/>
      <w:pPr>
        <w:tabs>
          <w:tab w:val="num" w:pos="4320"/>
        </w:tabs>
        <w:ind w:left="4320" w:hanging="720"/>
      </w:pPr>
    </w:lvl>
    <w:lvl w:ilvl="6">
      <w:start w:val="1"/>
      <w:numFmt w:val="decimal"/>
      <w:pStyle w:val="NDISSubparagraph"/>
      <w:lvlText w:val="%7."/>
      <w:lvlJc w:val="left"/>
      <w:pPr>
        <w:tabs>
          <w:tab w:val="num" w:pos="5040"/>
        </w:tabs>
        <w:ind w:left="5040" w:hanging="720"/>
      </w:pPr>
    </w:lvl>
    <w:lvl w:ilvl="7">
      <w:start w:val="1"/>
      <w:numFmt w:val="decimal"/>
      <w:pStyle w:val="NDISSubsubparagraph"/>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9842BF"/>
    <w:multiLevelType w:val="multilevel"/>
    <w:tmpl w:val="D43A3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61"/>
    <w:rsid w:val="004F5461"/>
    <w:rsid w:val="00A65512"/>
    <w:rsid w:val="00EF1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434651"/>
  <w15:docId w15:val="{EAD7EA74-C250-B44A-B996-B9810B67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4"/>
        <w:szCs w:val="24"/>
        <w:lang w:val="en-AU"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42"/>
  </w:style>
  <w:style w:type="paragraph" w:styleId="Heading1">
    <w:name w:val="heading 1"/>
    <w:basedOn w:val="Normal"/>
    <w:next w:val="Normal"/>
    <w:link w:val="Heading1Char"/>
    <w:uiPriority w:val="9"/>
    <w:qFormat/>
    <w:rsid w:val="002933C7"/>
    <w:pPr>
      <w:keepNext/>
      <w:keepLines/>
      <w:outlineLvl w:val="0"/>
    </w:pPr>
    <w:rPr>
      <w:rFonts w:eastAsiaTheme="majorEastAsia" w:cstheme="majorBidi"/>
      <w:b/>
      <w:bCs/>
      <w:color w:val="A6A6A6"/>
      <w:sz w:val="32"/>
      <w:szCs w:val="32"/>
    </w:rPr>
  </w:style>
  <w:style w:type="paragraph" w:styleId="Heading2">
    <w:name w:val="heading 2"/>
    <w:basedOn w:val="Normal"/>
    <w:next w:val="Normal"/>
    <w:link w:val="Heading2Char"/>
    <w:uiPriority w:val="9"/>
    <w:unhideWhenUsed/>
    <w:qFormat/>
    <w:rsid w:val="008C43D1"/>
    <w:pPr>
      <w:keepNext/>
      <w:keepLines/>
      <w:spacing w:before="240" w:after="60"/>
      <w:outlineLvl w:val="1"/>
    </w:pPr>
    <w:rPr>
      <w:rFonts w:eastAsiaTheme="majorEastAsia" w:cstheme="majorBidi"/>
      <w:b/>
      <w:bCs/>
      <w:color w:val="CF1F5D"/>
      <w:sz w:val="30"/>
      <w:szCs w:val="26"/>
    </w:rPr>
  </w:style>
  <w:style w:type="paragraph" w:styleId="Heading3">
    <w:name w:val="heading 3"/>
    <w:basedOn w:val="Normal"/>
    <w:next w:val="Normal"/>
    <w:link w:val="Heading3Char"/>
    <w:uiPriority w:val="9"/>
    <w:unhideWhenUsed/>
    <w:qFormat/>
    <w:rsid w:val="00B05FF9"/>
    <w:pPr>
      <w:keepNext/>
      <w:keepLines/>
      <w:spacing w:before="80" w:after="80"/>
      <w:outlineLvl w:val="2"/>
    </w:pPr>
    <w:rPr>
      <w:rFonts w:ascii="Arial" w:eastAsia="Times New Roman" w:hAnsi="Arial" w:cs="Arial"/>
      <w:b/>
      <w:bCs/>
      <w:caps/>
      <w:sz w:val="26"/>
      <w:szCs w:val="28"/>
    </w:rPr>
  </w:style>
  <w:style w:type="paragraph" w:styleId="Heading4">
    <w:name w:val="heading 4"/>
    <w:basedOn w:val="Normal"/>
    <w:next w:val="Normal"/>
    <w:link w:val="Heading4Char"/>
    <w:uiPriority w:val="9"/>
    <w:unhideWhenUsed/>
    <w:qFormat/>
    <w:rsid w:val="00292AEC"/>
    <w:pPr>
      <w:keepNext/>
      <w:keepLines/>
      <w:spacing w:before="200"/>
      <w:outlineLvl w:val="3"/>
    </w:pPr>
    <w:rPr>
      <w:rFonts w:ascii="Arial" w:eastAsiaTheme="majorEastAsia" w:hAnsi="Arial" w:cstheme="majorBidi"/>
      <w:b/>
      <w:bCs/>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9F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paragraph" w:styleId="NoSpacing">
    <w:name w:val="No Spacing"/>
    <w:uiPriority w:val="1"/>
    <w:qFormat/>
    <w:rsid w:val="00B919F8"/>
  </w:style>
  <w:style w:type="character" w:customStyle="1" w:styleId="Heading1Char">
    <w:name w:val="Heading 1 Char"/>
    <w:basedOn w:val="DefaultParagraphFont"/>
    <w:link w:val="Heading1"/>
    <w:uiPriority w:val="9"/>
    <w:rsid w:val="002933C7"/>
    <w:rPr>
      <w:rFonts w:ascii="Helvetica Neue" w:eastAsiaTheme="majorEastAsia" w:hAnsi="Helvetica Neue" w:cstheme="majorBidi"/>
      <w:b/>
      <w:bCs/>
      <w:color w:val="A6A6A6"/>
      <w:sz w:val="32"/>
      <w:szCs w:val="32"/>
    </w:rPr>
  </w:style>
  <w:style w:type="character" w:customStyle="1" w:styleId="Heading2Char">
    <w:name w:val="Heading 2 Char"/>
    <w:basedOn w:val="DefaultParagraphFont"/>
    <w:link w:val="Heading2"/>
    <w:uiPriority w:val="9"/>
    <w:rsid w:val="008C43D1"/>
    <w:rPr>
      <w:rFonts w:ascii="Helvetica Neue" w:eastAsiaTheme="majorEastAsia" w:hAnsi="Helvetica Neue" w:cstheme="majorBidi"/>
      <w:b/>
      <w:bCs/>
      <w:color w:val="CF1F5D"/>
      <w:sz w:val="30"/>
      <w:szCs w:val="26"/>
    </w:rPr>
  </w:style>
  <w:style w:type="character" w:customStyle="1" w:styleId="TitleChar">
    <w:name w:val="Title Char"/>
    <w:basedOn w:val="DefaultParagraphFont"/>
    <w:link w:val="Title"/>
    <w:uiPriority w:val="10"/>
    <w:rsid w:val="00B919F8"/>
    <w:rPr>
      <w:rFonts w:ascii="Helvetica Neue" w:eastAsiaTheme="majorEastAsia" w:hAnsi="Helvetica Neu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pBdr>
        <w:top w:val="single" w:sz="4" w:space="10" w:color="CCCCCC"/>
        <w:left w:val="single" w:sz="4" w:space="10" w:color="CCCCCC"/>
        <w:bottom w:val="single" w:sz="4" w:space="10" w:color="CCCCCC"/>
        <w:right w:val="single" w:sz="4" w:space="10" w:color="CCCCCC"/>
      </w:pBdr>
      <w:shd w:val="clear" w:color="auto" w:fill="CCCCCC"/>
      <w:spacing w:after="80"/>
      <w:ind w:right="-204"/>
    </w:pPr>
    <w:rPr>
      <w:rFonts w:ascii="Arial" w:eastAsia="Arial" w:hAnsi="Arial" w:cs="Arial"/>
    </w:rPr>
  </w:style>
  <w:style w:type="character" w:customStyle="1" w:styleId="SubtitleChar">
    <w:name w:val="Subtitle Char"/>
    <w:basedOn w:val="DefaultParagraphFont"/>
    <w:link w:val="Subtitle"/>
    <w:rsid w:val="0060126A"/>
    <w:rPr>
      <w:rFonts w:ascii="Arial" w:eastAsiaTheme="majorEastAsia" w:hAnsi="Arial" w:cs="Arial"/>
      <w:noProof/>
      <w:shd w:val="clear" w:color="auto" w:fill="CCCCCC"/>
    </w:rPr>
  </w:style>
  <w:style w:type="character" w:styleId="SubtleEmphasis">
    <w:name w:val="Subtle Emphasis"/>
    <w:basedOn w:val="DefaultParagraphFont"/>
    <w:uiPriority w:val="19"/>
    <w:qFormat/>
    <w:rsid w:val="00B919F8"/>
    <w:rPr>
      <w:i/>
      <w:iCs/>
      <w:color w:val="808080" w:themeColor="text1" w:themeTint="7F"/>
    </w:rPr>
  </w:style>
  <w:style w:type="character" w:styleId="IntenseEmphasis">
    <w:name w:val="Intense Emphasis"/>
    <w:basedOn w:val="DefaultParagraphFont"/>
    <w:uiPriority w:val="21"/>
    <w:qFormat/>
    <w:rsid w:val="00B919F8"/>
    <w:rPr>
      <w:b/>
      <w:bCs/>
      <w:i/>
      <w:iCs/>
      <w:color w:val="4F81BD" w:themeColor="accent1"/>
    </w:rPr>
  </w:style>
  <w:style w:type="character" w:styleId="Strong">
    <w:name w:val="Strong"/>
    <w:basedOn w:val="DefaultParagraphFont"/>
    <w:uiPriority w:val="22"/>
    <w:qFormat/>
    <w:rsid w:val="00B919F8"/>
    <w:rPr>
      <w:b/>
      <w:bCs/>
    </w:rPr>
  </w:style>
  <w:style w:type="paragraph" w:styleId="Quote">
    <w:name w:val="Quote"/>
    <w:basedOn w:val="Normal"/>
    <w:next w:val="Normal"/>
    <w:link w:val="QuoteChar"/>
    <w:autoRedefine/>
    <w:uiPriority w:val="29"/>
    <w:qFormat/>
    <w:rsid w:val="00B919F8"/>
    <w:pPr>
      <w:spacing w:line="240" w:lineRule="auto"/>
      <w:jc w:val="both"/>
    </w:pPr>
    <w:rPr>
      <w:i/>
      <w:iCs/>
      <w:color w:val="000000" w:themeColor="text1"/>
    </w:rPr>
  </w:style>
  <w:style w:type="character" w:customStyle="1" w:styleId="QuoteChar">
    <w:name w:val="Quote Char"/>
    <w:basedOn w:val="DefaultParagraphFont"/>
    <w:link w:val="Quote"/>
    <w:uiPriority w:val="29"/>
    <w:rsid w:val="00B919F8"/>
    <w:rPr>
      <w:rFonts w:ascii="Helvetica Neue" w:hAnsi="Helvetica Neue"/>
      <w:i/>
      <w:iCs/>
      <w:color w:val="000000" w:themeColor="text1"/>
    </w:rPr>
  </w:style>
  <w:style w:type="paragraph" w:styleId="ListParagraph">
    <w:name w:val="List Paragraph"/>
    <w:basedOn w:val="Normal"/>
    <w:autoRedefine/>
    <w:qFormat/>
    <w:rsid w:val="00B05FF9"/>
    <w:pPr>
      <w:numPr>
        <w:numId w:val="4"/>
      </w:numPr>
      <w:spacing w:after="240"/>
      <w:ind w:left="357" w:hanging="357"/>
    </w:pPr>
    <w:rPr>
      <w:color w:val="000000" w:themeColor="text1"/>
    </w:rPr>
  </w:style>
  <w:style w:type="character" w:styleId="BookTitle">
    <w:name w:val="Book Title"/>
    <w:basedOn w:val="DefaultParagraphFont"/>
    <w:uiPriority w:val="33"/>
    <w:qFormat/>
    <w:rsid w:val="00B919F8"/>
    <w:rPr>
      <w:b/>
      <w:bCs/>
      <w:smallCaps/>
      <w:spacing w:val="5"/>
    </w:rPr>
  </w:style>
  <w:style w:type="paragraph" w:customStyle="1" w:styleId="Style3">
    <w:name w:val="Style3"/>
    <w:basedOn w:val="Normal"/>
    <w:autoRedefine/>
    <w:qFormat/>
    <w:rsid w:val="00B919F8"/>
    <w:rPr>
      <w:b/>
    </w:rPr>
  </w:style>
  <w:style w:type="character" w:customStyle="1" w:styleId="TableHeader">
    <w:name w:val="Table Header"/>
    <w:basedOn w:val="DefaultParagraphFont"/>
    <w:uiPriority w:val="1"/>
    <w:qFormat/>
    <w:rsid w:val="007E4175"/>
    <w:rPr>
      <w:rFonts w:ascii="Helvetica Neue" w:eastAsiaTheme="majorEastAsia" w:hAnsi="Helvetica Neue" w:cstheme="majorBidi"/>
      <w:b/>
      <w:bCs/>
      <w:sz w:val="20"/>
    </w:rPr>
  </w:style>
  <w:style w:type="character" w:customStyle="1" w:styleId="TableofFigures1">
    <w:name w:val="Table of Figures1"/>
    <w:basedOn w:val="TableHeader"/>
    <w:autoRedefine/>
    <w:uiPriority w:val="1"/>
    <w:qFormat/>
    <w:rsid w:val="007E4175"/>
    <w:rPr>
      <w:rFonts w:ascii="Helvetica Neue" w:eastAsiaTheme="majorEastAsia" w:hAnsi="Helvetica Neue" w:cstheme="majorBidi"/>
      <w:b/>
      <w:bCs/>
      <w:sz w:val="22"/>
    </w:rPr>
  </w:style>
  <w:style w:type="character" w:customStyle="1" w:styleId="Heading3Char">
    <w:name w:val="Heading 3 Char"/>
    <w:basedOn w:val="DefaultParagraphFont"/>
    <w:link w:val="Heading3"/>
    <w:uiPriority w:val="9"/>
    <w:rsid w:val="00B05FF9"/>
    <w:rPr>
      <w:rFonts w:ascii="Arial" w:eastAsia="Times New Roman" w:hAnsi="Arial" w:cs="Arial"/>
      <w:b/>
      <w:bCs/>
      <w:caps/>
      <w:sz w:val="26"/>
      <w:szCs w:val="28"/>
      <w:lang w:val="en-AU"/>
    </w:rPr>
  </w:style>
  <w:style w:type="paragraph" w:customStyle="1" w:styleId="Normal1">
    <w:name w:val="Normal1"/>
    <w:rsid w:val="00CF4ED4"/>
    <w:pPr>
      <w:widowControl w:val="0"/>
      <w:pBdr>
        <w:top w:val="nil"/>
        <w:left w:val="nil"/>
        <w:bottom w:val="nil"/>
        <w:right w:val="nil"/>
        <w:between w:val="nil"/>
      </w:pBdr>
      <w:spacing w:before="200" w:line="360" w:lineRule="auto"/>
    </w:pPr>
    <w:rPr>
      <w:color w:val="000000"/>
    </w:rPr>
  </w:style>
  <w:style w:type="paragraph" w:styleId="NormalWeb">
    <w:name w:val="Normal (Web)"/>
    <w:basedOn w:val="Normal"/>
    <w:uiPriority w:val="99"/>
    <w:unhideWhenUsed/>
    <w:rsid w:val="00794D54"/>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794D54"/>
  </w:style>
  <w:style w:type="table" w:styleId="TableGrid">
    <w:name w:val="Table Grid"/>
    <w:basedOn w:val="TableNormal"/>
    <w:uiPriority w:val="59"/>
    <w:rsid w:val="007B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792"/>
    <w:pPr>
      <w:tabs>
        <w:tab w:val="center" w:pos="4320"/>
        <w:tab w:val="right" w:pos="8640"/>
      </w:tabs>
      <w:spacing w:line="240" w:lineRule="auto"/>
    </w:pPr>
  </w:style>
  <w:style w:type="character" w:customStyle="1" w:styleId="HeaderChar">
    <w:name w:val="Header Char"/>
    <w:basedOn w:val="DefaultParagraphFont"/>
    <w:link w:val="Header"/>
    <w:uiPriority w:val="99"/>
    <w:rsid w:val="00E50792"/>
    <w:rPr>
      <w:rFonts w:ascii="Helvetica Neue" w:hAnsi="Helvetica Neue"/>
    </w:rPr>
  </w:style>
  <w:style w:type="paragraph" w:styleId="Footer">
    <w:name w:val="footer"/>
    <w:basedOn w:val="Normal"/>
    <w:link w:val="FooterChar"/>
    <w:uiPriority w:val="99"/>
    <w:unhideWhenUsed/>
    <w:rsid w:val="00E50792"/>
    <w:pPr>
      <w:tabs>
        <w:tab w:val="center" w:pos="4320"/>
        <w:tab w:val="right" w:pos="8640"/>
      </w:tabs>
      <w:spacing w:line="240" w:lineRule="auto"/>
    </w:pPr>
  </w:style>
  <w:style w:type="character" w:customStyle="1" w:styleId="FooterChar">
    <w:name w:val="Footer Char"/>
    <w:basedOn w:val="DefaultParagraphFont"/>
    <w:link w:val="Footer"/>
    <w:uiPriority w:val="99"/>
    <w:rsid w:val="00E50792"/>
    <w:rPr>
      <w:rFonts w:ascii="Helvetica Neue" w:hAnsi="Helvetica Neue"/>
    </w:rPr>
  </w:style>
  <w:style w:type="character" w:styleId="PageNumber">
    <w:name w:val="page number"/>
    <w:basedOn w:val="DefaultParagraphFont"/>
    <w:uiPriority w:val="99"/>
    <w:semiHidden/>
    <w:unhideWhenUsed/>
    <w:rsid w:val="001D4FC5"/>
  </w:style>
  <w:style w:type="paragraph" w:styleId="BalloonText">
    <w:name w:val="Balloon Text"/>
    <w:basedOn w:val="Normal"/>
    <w:link w:val="BalloonTextChar"/>
    <w:uiPriority w:val="99"/>
    <w:semiHidden/>
    <w:unhideWhenUsed/>
    <w:rsid w:val="00B817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72C"/>
    <w:rPr>
      <w:rFonts w:ascii="Lucida Grande" w:hAnsi="Lucida Grande" w:cs="Lucida Grande"/>
      <w:sz w:val="18"/>
      <w:szCs w:val="18"/>
    </w:rPr>
  </w:style>
  <w:style w:type="character" w:customStyle="1" w:styleId="Heading4Char">
    <w:name w:val="Heading 4 Char"/>
    <w:basedOn w:val="DefaultParagraphFont"/>
    <w:link w:val="Heading4"/>
    <w:uiPriority w:val="9"/>
    <w:rsid w:val="00292AEC"/>
    <w:rPr>
      <w:rFonts w:ascii="Arial" w:eastAsiaTheme="majorEastAsia" w:hAnsi="Arial" w:cstheme="majorBidi"/>
      <w:b/>
      <w:bCs/>
      <w:iCs/>
    </w:rPr>
  </w:style>
  <w:style w:type="character" w:styleId="IntenseReference">
    <w:name w:val="Intense Reference"/>
    <w:aliases w:val="Link to resources"/>
    <w:basedOn w:val="DefaultParagraphFont"/>
    <w:uiPriority w:val="32"/>
    <w:qFormat/>
    <w:rsid w:val="00292AEC"/>
    <w:rPr>
      <w:rFonts w:ascii="Arial" w:hAnsi="Arial"/>
      <w:b/>
      <w:bCs/>
      <w:caps w:val="0"/>
      <w:smallCaps w:val="0"/>
      <w:color w:val="943634" w:themeColor="accent2" w:themeShade="BF"/>
      <w:spacing w:val="0"/>
      <w:sz w:val="24"/>
      <w:szCs w:val="24"/>
      <w:u w:val="none"/>
    </w:rPr>
  </w:style>
  <w:style w:type="character" w:styleId="Hyperlink">
    <w:name w:val="Hyperlink"/>
    <w:basedOn w:val="DefaultParagraphFont"/>
    <w:uiPriority w:val="99"/>
    <w:unhideWhenUsed/>
    <w:rsid w:val="00292AEC"/>
    <w:rPr>
      <w:color w:val="0000FF" w:themeColor="hyperlink"/>
      <w:u w:val="single"/>
    </w:rPr>
  </w:style>
  <w:style w:type="character" w:styleId="FollowedHyperlink">
    <w:name w:val="FollowedHyperlink"/>
    <w:basedOn w:val="DefaultParagraphFont"/>
    <w:uiPriority w:val="99"/>
    <w:semiHidden/>
    <w:unhideWhenUsed/>
    <w:rsid w:val="00292AEC"/>
    <w:rPr>
      <w:color w:val="800080" w:themeColor="followedHyperlink"/>
      <w:u w:val="single"/>
    </w:rPr>
  </w:style>
  <w:style w:type="paragraph" w:customStyle="1" w:styleId="TableText">
    <w:name w:val="Table Text"/>
    <w:basedOn w:val="Normal"/>
    <w:qFormat/>
    <w:rsid w:val="005C423C"/>
    <w:pPr>
      <w:spacing w:after="0" w:line="0" w:lineRule="atLeast"/>
    </w:pPr>
    <w:rPr>
      <w:rFonts w:ascii="Arial" w:hAnsi="Arial" w:cs="Arial"/>
      <w:sz w:val="18"/>
      <w:szCs w:val="18"/>
    </w:rPr>
  </w:style>
  <w:style w:type="character" w:styleId="CommentReference">
    <w:name w:val="annotation reference"/>
    <w:basedOn w:val="DefaultParagraphFont"/>
    <w:uiPriority w:val="99"/>
    <w:semiHidden/>
    <w:unhideWhenUsed/>
    <w:rsid w:val="00267A49"/>
    <w:rPr>
      <w:sz w:val="18"/>
      <w:szCs w:val="18"/>
    </w:rPr>
  </w:style>
  <w:style w:type="paragraph" w:styleId="CommentText">
    <w:name w:val="annotation text"/>
    <w:basedOn w:val="Normal"/>
    <w:link w:val="CommentTextChar"/>
    <w:uiPriority w:val="99"/>
    <w:semiHidden/>
    <w:unhideWhenUsed/>
    <w:rsid w:val="00267A49"/>
    <w:pPr>
      <w:spacing w:line="240" w:lineRule="auto"/>
    </w:pPr>
  </w:style>
  <w:style w:type="character" w:customStyle="1" w:styleId="CommentTextChar">
    <w:name w:val="Comment Text Char"/>
    <w:basedOn w:val="DefaultParagraphFont"/>
    <w:link w:val="CommentText"/>
    <w:uiPriority w:val="99"/>
    <w:semiHidden/>
    <w:rsid w:val="00267A49"/>
    <w:rPr>
      <w:rFonts w:ascii="Helvetica Neue" w:hAnsi="Helvetica Neue"/>
    </w:rPr>
  </w:style>
  <w:style w:type="paragraph" w:styleId="CommentSubject">
    <w:name w:val="annotation subject"/>
    <w:basedOn w:val="CommentText"/>
    <w:next w:val="CommentText"/>
    <w:link w:val="CommentSubjectChar"/>
    <w:uiPriority w:val="99"/>
    <w:semiHidden/>
    <w:unhideWhenUsed/>
    <w:rsid w:val="00267A49"/>
    <w:rPr>
      <w:b/>
      <w:bCs/>
      <w:sz w:val="20"/>
      <w:szCs w:val="20"/>
    </w:rPr>
  </w:style>
  <w:style w:type="character" w:customStyle="1" w:styleId="CommentSubjectChar">
    <w:name w:val="Comment Subject Char"/>
    <w:basedOn w:val="CommentTextChar"/>
    <w:link w:val="CommentSubject"/>
    <w:uiPriority w:val="99"/>
    <w:semiHidden/>
    <w:rsid w:val="00267A49"/>
    <w:rPr>
      <w:rFonts w:ascii="Helvetica Neue" w:hAnsi="Helvetica Neue"/>
      <w:b/>
      <w:bCs/>
      <w:sz w:val="20"/>
      <w:szCs w:val="20"/>
    </w:rPr>
  </w:style>
  <w:style w:type="paragraph" w:customStyle="1" w:styleId="link">
    <w:name w:val="link"/>
    <w:basedOn w:val="Normal"/>
    <w:qFormat/>
    <w:rsid w:val="00367DFD"/>
    <w:rPr>
      <w:b/>
      <w:color w:val="CF1F5D"/>
      <w:u w:val="single"/>
    </w:rPr>
  </w:style>
  <w:style w:type="paragraph" w:customStyle="1" w:styleId="NDISPart">
    <w:name w:val="NDIS Part"/>
    <w:basedOn w:val="Heading2"/>
    <w:next w:val="NDISDivision"/>
    <w:rsid w:val="00777522"/>
    <w:pPr>
      <w:pageBreakBefore/>
      <w:numPr>
        <w:ilvl w:val="1"/>
        <w:numId w:val="5"/>
      </w:numPr>
      <w:tabs>
        <w:tab w:val="clear" w:pos="1440"/>
        <w:tab w:val="num" w:pos="1134"/>
      </w:tabs>
      <w:spacing w:before="0" w:after="0" w:line="280" w:lineRule="atLeast"/>
      <w:ind w:left="1134" w:hanging="360"/>
    </w:pPr>
    <w:rPr>
      <w:rFonts w:ascii="Arial" w:eastAsia="Times New Roman" w:hAnsi="Arial" w:cs="Arial"/>
      <w:iCs/>
      <w:color w:val="auto"/>
      <w:sz w:val="32"/>
      <w:szCs w:val="28"/>
      <w:lang w:eastAsia="en-AU"/>
    </w:rPr>
  </w:style>
  <w:style w:type="paragraph" w:customStyle="1" w:styleId="NDISDivision">
    <w:name w:val="NDIS Division"/>
    <w:basedOn w:val="Heading3"/>
    <w:next w:val="NDISSubdivision"/>
    <w:rsid w:val="00777522"/>
    <w:pPr>
      <w:numPr>
        <w:ilvl w:val="2"/>
        <w:numId w:val="5"/>
      </w:numPr>
      <w:spacing w:before="480" w:after="0" w:line="280" w:lineRule="atLeast"/>
      <w:ind w:hanging="360"/>
    </w:pPr>
    <w:rPr>
      <w:caps w:val="0"/>
      <w:sz w:val="28"/>
      <w:szCs w:val="26"/>
      <w:lang w:eastAsia="en-AU"/>
    </w:rPr>
  </w:style>
  <w:style w:type="paragraph" w:customStyle="1" w:styleId="NDISSubsection">
    <w:name w:val="NDIS Subsection"/>
    <w:basedOn w:val="Normal"/>
    <w:rsid w:val="00777522"/>
    <w:pPr>
      <w:numPr>
        <w:ilvl w:val="4"/>
        <w:numId w:val="5"/>
      </w:numPr>
      <w:spacing w:before="240" w:after="40" w:line="280" w:lineRule="atLeast"/>
    </w:pPr>
    <w:rPr>
      <w:rFonts w:ascii="Arial" w:eastAsia="Times New Roman" w:hAnsi="Arial" w:cs="Arial"/>
      <w:sz w:val="22"/>
      <w:szCs w:val="22"/>
      <w:lang w:eastAsia="en-AU"/>
    </w:rPr>
  </w:style>
  <w:style w:type="paragraph" w:customStyle="1" w:styleId="NDISParagraph">
    <w:name w:val="NDIS Paragraph"/>
    <w:basedOn w:val="Normal"/>
    <w:rsid w:val="00777522"/>
    <w:pPr>
      <w:numPr>
        <w:ilvl w:val="5"/>
        <w:numId w:val="5"/>
      </w:numPr>
      <w:spacing w:before="80" w:after="40" w:line="280" w:lineRule="atLeast"/>
      <w:ind w:left="1134"/>
    </w:pPr>
    <w:rPr>
      <w:rFonts w:ascii="Arial" w:eastAsia="Times New Roman" w:hAnsi="Arial" w:cs="Arial"/>
      <w:sz w:val="22"/>
      <w:szCs w:val="22"/>
      <w:lang w:eastAsia="en-AU"/>
    </w:rPr>
  </w:style>
  <w:style w:type="paragraph" w:customStyle="1" w:styleId="NDISSubparagraph">
    <w:name w:val="NDIS Subparagraph"/>
    <w:basedOn w:val="NDISParagraph"/>
    <w:rsid w:val="00777522"/>
    <w:pPr>
      <w:numPr>
        <w:ilvl w:val="6"/>
      </w:numPr>
    </w:pPr>
  </w:style>
  <w:style w:type="paragraph" w:customStyle="1" w:styleId="NDISSubdivision">
    <w:name w:val="NDIS Subdivision"/>
    <w:basedOn w:val="NDISDivision"/>
    <w:next w:val="NDISSubsection"/>
    <w:rsid w:val="00777522"/>
    <w:pPr>
      <w:numPr>
        <w:ilvl w:val="3"/>
      </w:numPr>
      <w:ind w:hanging="360"/>
    </w:pPr>
    <w:rPr>
      <w:sz w:val="26"/>
    </w:rPr>
  </w:style>
  <w:style w:type="paragraph" w:customStyle="1" w:styleId="NDISSubsubparagraph">
    <w:name w:val="NDIS Subsubparagraph"/>
    <w:basedOn w:val="NDISParagraph"/>
    <w:rsid w:val="00777522"/>
    <w:pPr>
      <w:numPr>
        <w:ilvl w:val="7"/>
      </w:numPr>
    </w:pPr>
  </w:style>
  <w:style w:type="paragraph" w:customStyle="1" w:styleId="SDARules">
    <w:name w:val="SDA Rules"/>
    <w:basedOn w:val="Normal"/>
    <w:qFormat/>
    <w:rsid w:val="00E8598E"/>
    <w:pPr>
      <w:spacing w:after="360" w:line="288" w:lineRule="exact"/>
    </w:pPr>
    <w:rPr>
      <w:rFonts w:ascii="Arial" w:hAnsi="Arial"/>
      <w:color w:val="CF1F5D"/>
      <w:sz w:val="20"/>
      <w:szCs w:val="20"/>
    </w:rPr>
  </w:style>
  <w:style w:type="paragraph" w:customStyle="1" w:styleId="TextBox">
    <w:name w:val="Text Box"/>
    <w:basedOn w:val="Normal"/>
    <w:qFormat/>
    <w:rsid w:val="00777F5A"/>
    <w:pPr>
      <w:pBdr>
        <w:top w:val="single" w:sz="4" w:space="1" w:color="auto"/>
        <w:left w:val="single" w:sz="4" w:space="4" w:color="auto"/>
        <w:bottom w:val="single" w:sz="4" w:space="1" w:color="auto"/>
        <w:right w:val="single" w:sz="4" w:space="4" w:color="auto"/>
      </w:pBdr>
    </w:pPr>
    <w:rPr>
      <w:rFonts w:ascii="Arial" w:hAnsi="Arial" w:cs="Arial"/>
      <w:color w:val="7F7F7F"/>
    </w:rPr>
  </w:style>
  <w:style w:type="paragraph" w:customStyle="1" w:styleId="ndissubsection0">
    <w:name w:val="ndissubsection"/>
    <w:basedOn w:val="Normal"/>
    <w:rsid w:val="00004338"/>
    <w:pPr>
      <w:spacing w:before="100" w:beforeAutospacing="1" w:after="100" w:afterAutospacing="1" w:line="240" w:lineRule="auto"/>
    </w:pPr>
    <w:rPr>
      <w:rFonts w:ascii="Times" w:hAnsi="Times"/>
      <w:sz w:val="20"/>
      <w:szCs w:val="20"/>
    </w:rPr>
  </w:style>
  <w:style w:type="paragraph" w:customStyle="1" w:styleId="ndisparagraph0">
    <w:name w:val="ndisparagraph"/>
    <w:basedOn w:val="Normal"/>
    <w:rsid w:val="00004338"/>
    <w:pPr>
      <w:spacing w:before="100" w:beforeAutospacing="1" w:after="100" w:afterAutospacing="1" w:line="240" w:lineRule="auto"/>
    </w:pPr>
    <w:rPr>
      <w:rFonts w:ascii="Times" w:hAnsi="Times"/>
      <w:sz w:val="20"/>
      <w:szCs w:val="20"/>
    </w:rPr>
  </w:style>
  <w:style w:type="character" w:styleId="Emphasis">
    <w:name w:val="Emphasis"/>
    <w:basedOn w:val="DefaultParagraphFont"/>
    <w:uiPriority w:val="20"/>
    <w:qFormat/>
    <w:rsid w:val="003429FC"/>
    <w:rPr>
      <w:rFonts w:asciiTheme="minorHAnsi" w:hAnsiTheme="minorHAnsi"/>
      <w:b/>
      <w:i w:val="0"/>
      <w:iCs/>
      <w:color w:val="DC582A"/>
    </w:rPr>
  </w:style>
  <w:style w:type="paragraph" w:customStyle="1" w:styleId="Quotefromreport">
    <w:name w:val="Quote from report"/>
    <w:basedOn w:val="Normal"/>
    <w:link w:val="QuotefromreportChar"/>
    <w:qFormat/>
    <w:rsid w:val="003429FC"/>
    <w:pPr>
      <w:spacing w:before="120" w:after="120" w:line="80" w:lineRule="atLeast"/>
      <w:ind w:left="720"/>
    </w:pPr>
    <w:rPr>
      <w:rFonts w:ascii="Source Sans Pro" w:eastAsiaTheme="minorHAnsi" w:hAnsi="Source Sans Pro"/>
      <w:sz w:val="22"/>
      <w:szCs w:val="22"/>
    </w:rPr>
  </w:style>
  <w:style w:type="character" w:customStyle="1" w:styleId="QuotefromreportChar">
    <w:name w:val="Quote from report Char"/>
    <w:basedOn w:val="DefaultParagraphFont"/>
    <w:link w:val="Quotefromreport"/>
    <w:rsid w:val="003429FC"/>
    <w:rPr>
      <w:rFonts w:ascii="Source Sans Pro" w:eastAsiaTheme="minorHAnsi" w:hAnsi="Source Sans Pro"/>
      <w:sz w:val="22"/>
      <w:szCs w:val="22"/>
      <w:lang w:val="en-AU"/>
    </w:rPr>
  </w:style>
  <w:style w:type="paragraph" w:customStyle="1" w:styleId="Reference">
    <w:name w:val="Reference"/>
    <w:basedOn w:val="Normal"/>
    <w:link w:val="ReferenceChar"/>
    <w:qFormat/>
    <w:rsid w:val="00D56075"/>
    <w:pPr>
      <w:spacing w:before="240" w:line="80" w:lineRule="atLeast"/>
      <w:ind w:left="720"/>
      <w:jc w:val="both"/>
    </w:pPr>
    <w:rPr>
      <w:rFonts w:ascii="Source Sans Pro" w:eastAsiaTheme="minorHAnsi" w:hAnsi="Source Sans Pro"/>
      <w:b/>
      <w:i/>
      <w:sz w:val="16"/>
      <w:szCs w:val="22"/>
    </w:rPr>
  </w:style>
  <w:style w:type="character" w:customStyle="1" w:styleId="ReferenceChar">
    <w:name w:val="Reference Char"/>
    <w:basedOn w:val="DefaultParagraphFont"/>
    <w:link w:val="Reference"/>
    <w:rsid w:val="00D56075"/>
    <w:rPr>
      <w:rFonts w:ascii="Source Sans Pro" w:eastAsiaTheme="minorHAnsi" w:hAnsi="Source Sans Pro"/>
      <w:b/>
      <w:i/>
      <w:sz w:val="16"/>
      <w:szCs w:val="22"/>
      <w:lang w:val="en-AU"/>
    </w:rPr>
  </w:style>
  <w:style w:type="numbering" w:customStyle="1" w:styleId="ImportedStyle11">
    <w:name w:val="Imported Style 11"/>
    <w:rsid w:val="00626793"/>
  </w:style>
  <w:style w:type="paragraph" w:styleId="Revision">
    <w:name w:val="Revision"/>
    <w:hidden/>
    <w:uiPriority w:val="99"/>
    <w:semiHidden/>
    <w:rsid w:val="00476DAC"/>
  </w:style>
  <w:style w:type="character" w:styleId="UnresolvedMention">
    <w:name w:val="Unresolved Mention"/>
    <w:basedOn w:val="DefaultParagraphFont"/>
    <w:uiPriority w:val="99"/>
    <w:semiHidden/>
    <w:unhideWhenUsed/>
    <w:rsid w:val="0025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ummerfoundation.org.au/wp-content/uploads/2020/06/Participant-Housing-statement-template-29may.dotx" TargetMode="External"/><Relationship Id="rId18" Type="http://schemas.openxmlformats.org/officeDocument/2006/relationships/hyperlink" Target="http://www.valid.org.au/10-steps-excellent-ndis-therapy-repor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ummerfoundation.org.au/resources/sda-payments-guide/" TargetMode="External"/><Relationship Id="rId17" Type="http://schemas.openxmlformats.org/officeDocument/2006/relationships/hyperlink" Target="http://www.legislation.gov.au/Details/F2019C00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mmerfoundation.org.au/resources/my-%20housing-preferences/" TargetMode="External"/><Relationship Id="rId20" Type="http://schemas.openxmlformats.org/officeDocument/2006/relationships/hyperlink" Target="mailto:upskill@summerfoundation.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about-us/operational-guidelines/younger-people-residential-aged-car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ummerfoundation.org.au/ndis-housing-resources/" TargetMode="External"/><Relationship Id="rId23" Type="http://schemas.openxmlformats.org/officeDocument/2006/relationships/footer" Target="footer2.xml"/><Relationship Id="rId10" Type="http://schemas.openxmlformats.org/officeDocument/2006/relationships/hyperlink" Target="http://www.ndis.gov.au/providers/housing-and-living-supports-and-services/providing-home-modifications" TargetMode="External"/><Relationship Id="rId19" Type="http://schemas.openxmlformats.org/officeDocument/2006/relationships/hyperlink" Target="http://www.summerfoundation.org.au/resources/allied-health-housing-%20assessments/" TargetMode="External"/><Relationship Id="rId4" Type="http://schemas.openxmlformats.org/officeDocument/2006/relationships/settings" Target="settings.xml"/><Relationship Id="rId9" Type="http://schemas.openxmlformats.org/officeDocument/2006/relationships/hyperlink" Target="https://www.ndis.gov.au/about-us/operational-guidelines/medium-term-accommodation-operational-guideline" TargetMode="External"/><Relationship Id="rId14" Type="http://schemas.openxmlformats.org/officeDocument/2006/relationships/hyperlink" Target="http://www.summerfoundation.org.au/resources/how-to-write-a-housing-plan/"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FJy9kkbM8yUhn0HSk27hIJxZQ==">AMUW2mU8sWRzymIgCEsnm0GFmgNl2RCEidL4Us7eVmR72rAd3JsHptxnVsmBfBWOPSf9Mg/pXqLbctMbe15sRcD+tGec2TAj+TR8Jmobti8zQKhtVsXXa14=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Antony Brown</cp:lastModifiedBy>
  <cp:revision>2</cp:revision>
  <dcterms:created xsi:type="dcterms:W3CDTF">2020-10-30T07:22:00Z</dcterms:created>
  <dcterms:modified xsi:type="dcterms:W3CDTF">2020-11-10T05:42:00Z</dcterms:modified>
</cp:coreProperties>
</file>